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Dear </w:t>
      </w:r>
      <w:r>
        <w:rPr>
          <w:rFonts w:ascii="Times New Roman" w:hAnsi="Times New Roman"/>
          <w:sz w:val="24"/>
          <w:szCs w:val="24"/>
          <w:shd w:val="clear" w:color="auto" w:fill="fefb66"/>
          <w:rtl w:val="0"/>
          <w:lang w:val="en-US"/>
        </w:rPr>
        <w:t>[Insert Administrator Name Here]</w:t>
      </w:r>
      <w:r>
        <w:rPr>
          <w:rFonts w:ascii="Times New Roman" w:hAnsi="Times New Roman"/>
          <w:sz w:val="24"/>
          <w:szCs w:val="24"/>
          <w:rtl w:val="0"/>
          <w:lang w:val="en-US"/>
        </w:rPr>
        <w:t xml:space="preserve">,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I am writing to request approval for membership in the Accelerator - a resource for educators from the Institute for Arts Integration and STEAM (IAS). IAS is globally recognized as a leading professional association for educators using arts integration and STEAM to impact student success.</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As an Accelerator member, I will be exposed to the best practices and the latest research in arts integration and STEAM, and I</w:t>
      </w:r>
      <w:r>
        <w:rPr>
          <w:rFonts w:ascii="Times New Roman" w:hAnsi="Times New Roman" w:hint="default"/>
          <w:sz w:val="24"/>
          <w:szCs w:val="24"/>
          <w:rtl w:val="0"/>
          <w:lang w:val="en-US"/>
        </w:rPr>
        <w:t>’</w:t>
      </w:r>
      <w:r>
        <w:rPr>
          <w:rFonts w:ascii="Times New Roman" w:hAnsi="Times New Roman"/>
          <w:sz w:val="24"/>
          <w:szCs w:val="24"/>
          <w:rtl w:val="0"/>
          <w:lang w:val="en-US"/>
        </w:rPr>
        <w:t xml:space="preserve">ll have the opportunity to ask questions and learn from leading experts in education. By passing on the information and resources I gather, I can help position our school and district as leaders in arts integration and STEAM approaches. Arts integration and STEAM both fall into acceptable use categories for Title II and Title IVa funding.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Membership includes: </w:t>
      </w:r>
    </w:p>
    <w:p>
      <w:pPr>
        <w:pStyle w:val="Default"/>
        <w:spacing w:line="280" w:lineRule="atLeast"/>
        <w:rPr>
          <w:rFonts w:ascii="Times New Roman" w:cs="Times New Roman" w:hAnsi="Times New Roman" w:eastAsia="Times New Roman"/>
          <w:sz w:val="24"/>
          <w:szCs w:val="24"/>
        </w:rPr>
      </w:pP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Access to more than 25 professional workshops with new ones added each month. These workshops offer specific strategies and supports for using arts integration and STEAM in the classroom which tie into professional teaching frameworks. </w:t>
      </w: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 xml:space="preserve">Free Admission to the Connectivity Conference. This online conference happens each summer and provides participants with the latest best practices taking place in the field of arts integration and STEAM by educators, for educators. </w:t>
      </w: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Access to over 200 lessons, assessments and student materials with a K-12 arts integration and STEAM curriculum supplement.</w:t>
      </w: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A professional resource library with over 100 templates, posters, planning materials and frameworks to guide arts integration and STEAM implementation and support.</w:t>
      </w:r>
    </w:p>
    <w:p>
      <w:pPr>
        <w:pStyle w:val="Default"/>
        <w:numPr>
          <w:ilvl w:val="0"/>
          <w:numId w:val="2"/>
        </w:numPr>
        <w:bidi w:val="0"/>
        <w:spacing w:line="280" w:lineRule="atLeast"/>
        <w:ind w:right="0"/>
        <w:jc w:val="left"/>
        <w:rPr>
          <w:rFonts w:ascii="Times New Roman" w:hAnsi="Times New Roman"/>
          <w:sz w:val="24"/>
          <w:szCs w:val="24"/>
          <w:rtl w:val="0"/>
          <w:lang w:val="en-US"/>
        </w:rPr>
      </w:pPr>
      <w:r>
        <w:rPr>
          <w:rFonts w:ascii="Times New Roman" w:hAnsi="Times New Roman"/>
          <w:sz w:val="24"/>
          <w:szCs w:val="24"/>
          <w:rtl w:val="0"/>
          <w:lang w:val="en-US"/>
        </w:rPr>
        <w:t>A full suite of accredited online courses with professional development hours and CEUs. These courses provide foundational information on topics such as arts integration, STEAM, checking for understanding, social emotional learning, classroom management, PBL and culturally responsive pedagogy.</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The Accelerator membership costs only $</w:t>
      </w:r>
      <w:r>
        <w:rPr>
          <w:rFonts w:ascii="Times New Roman" w:hAnsi="Times New Roman"/>
          <w:sz w:val="24"/>
          <w:szCs w:val="24"/>
          <w:rtl w:val="0"/>
          <w:lang w:val="en-US"/>
        </w:rPr>
        <w:t>325</w:t>
      </w:r>
      <w:r>
        <w:rPr>
          <w:rFonts w:ascii="Times New Roman" w:hAnsi="Times New Roman"/>
          <w:sz w:val="24"/>
          <w:szCs w:val="24"/>
          <w:rtl w:val="0"/>
          <w:lang w:val="en-US"/>
        </w:rPr>
        <w:t xml:space="preserve"> a year.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I am confident that Accelerator membership will improve my teaching practice and improve student learning outcomes. I look forward to sharing the knowledge I gain with my peers as we work together to create engaging learning experiences that will help our students truly succeed in and through the arts.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Style w:val="None"/>
          <w:rFonts w:ascii="Times New Roman" w:cs="Times New Roman" w:hAnsi="Times New Roman" w:eastAsia="Times New Roman"/>
          <w:sz w:val="24"/>
          <w:szCs w:val="24"/>
        </w:rPr>
      </w:pPr>
      <w:r>
        <w:rPr>
          <w:rFonts w:ascii="Times New Roman" w:hAnsi="Times New Roman"/>
          <w:sz w:val="24"/>
          <w:szCs w:val="24"/>
          <w:rtl w:val="0"/>
          <w:lang w:val="en-US"/>
        </w:rPr>
        <w:t>Feel free to</w:t>
      </w:r>
      <w:r>
        <w:rPr>
          <w:rFonts w:ascii="Times New Roman" w:hAnsi="Times New Roman"/>
          <w:outline w:val="0"/>
          <w:color w:val="0075b9"/>
          <w:sz w:val="24"/>
          <w:szCs w:val="24"/>
          <w:u w:color="0075b9"/>
          <w:rtl w:val="0"/>
          <w:lang w:val="en-US"/>
          <w14:textFill>
            <w14:solidFill>
              <w14:srgbClr w14:val="0075B9"/>
            </w14:solidFill>
          </w14:textFill>
        </w:rPr>
        <w:t xml:space="preserve"> </w:t>
      </w:r>
      <w:r>
        <w:rPr>
          <w:rStyle w:val="Hyperlink.0"/>
        </w:rPr>
        <w:fldChar w:fldCharType="begin" w:fldLock="0"/>
      </w:r>
      <w:r>
        <w:rPr>
          <w:rStyle w:val="Hyperlink.0"/>
        </w:rPr>
        <w:instrText xml:space="preserve"> HYPERLINK "https://educationcloset.com/accelerator/"</w:instrText>
      </w:r>
      <w:r>
        <w:rPr>
          <w:rStyle w:val="Hyperlink.0"/>
        </w:rPr>
        <w:fldChar w:fldCharType="separate" w:fldLock="0"/>
      </w:r>
      <w:r>
        <w:rPr>
          <w:rStyle w:val="Hyperlink.0"/>
          <w:rtl w:val="0"/>
          <w:lang w:val="en-US"/>
        </w:rPr>
        <w:t>visit the IAS website</w:t>
      </w:r>
      <w:r>
        <w:rPr/>
        <w:fldChar w:fldCharType="end" w:fldLock="0"/>
      </w:r>
      <w:r>
        <w:rPr>
          <w:rStyle w:val="None"/>
          <w:rFonts w:ascii="Times New Roman" w:hAnsi="Times New Roman"/>
          <w:sz w:val="24"/>
          <w:szCs w:val="24"/>
          <w:rtl w:val="0"/>
          <w:lang w:val="en-US"/>
        </w:rPr>
        <w:t xml:space="preserve"> for more information. </w:t>
      </w:r>
    </w:p>
    <w:p>
      <w:pPr>
        <w:pStyle w:val="Default"/>
        <w:spacing w:line="280" w:lineRule="atLeast"/>
        <w:rPr>
          <w:rStyle w:val="None"/>
          <w:rFonts w:ascii="Times New Roman" w:cs="Times New Roman" w:hAnsi="Times New Roman" w:eastAsia="Times New Roman"/>
          <w:sz w:val="24"/>
          <w:szCs w:val="24"/>
        </w:rPr>
      </w:pPr>
    </w:p>
    <w:p>
      <w:pPr>
        <w:pStyle w:val="Default"/>
        <w:spacing w:line="28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Thank you for considering this opportunity! </w:t>
      </w:r>
    </w:p>
    <w:p>
      <w:pPr>
        <w:pStyle w:val="Default"/>
        <w:spacing w:line="280" w:lineRule="atLeast"/>
        <w:rPr>
          <w:rStyle w:val="None"/>
          <w:rFonts w:ascii="Times New Roman" w:cs="Times New Roman" w:hAnsi="Times New Roman" w:eastAsia="Times New Roman"/>
          <w:sz w:val="24"/>
          <w:szCs w:val="24"/>
        </w:rPr>
      </w:pPr>
    </w:p>
    <w:p>
      <w:pPr>
        <w:pStyle w:val="Default"/>
        <w:spacing w:line="28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Sincerely,</w:t>
      </w:r>
    </w:p>
    <w:p>
      <w:pPr>
        <w:pStyle w:val="Default"/>
        <w:spacing w:line="280" w:lineRule="atLeast"/>
      </w:pPr>
      <w:r>
        <w:rPr>
          <w:rStyle w:val="None"/>
          <w:rFonts w:ascii="Times New Roman" w:hAnsi="Times New Roman"/>
          <w:sz w:val="24"/>
          <w:szCs w:val="24"/>
          <w:shd w:val="clear" w:color="auto" w:fill="fefb66"/>
          <w:rtl w:val="0"/>
          <w:lang w:val="en-US"/>
        </w:rPr>
        <w:t>[Insert your name here]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5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07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79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1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23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56" w:hanging="1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75b9"/>
      <w:sz w:val="24"/>
      <w:szCs w:val="24"/>
      <w:u w:val="single" w:color="0075b9"/>
      <w14:textFill>
        <w14:solidFill>
          <w14:srgbClr w14:val="0075B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